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2.7.0 -->
  <w:body>
    <w:p>
      <w:pPr>
        <w:spacing w:before="0" w:after="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>                             </w:t>
      </w:r>
      <w:r>
        <w:rPr>
          <w:rFonts w:ascii="Courier New" w:eastAsia="Courier New" w:hAnsi="Courier New" w:cs="Courier New"/>
          <w:strike w:val="0"/>
          <w:sz w:val="20"/>
          <w:szCs w:val="20"/>
          <w:u w:val="none"/>
          <w:lang w:val="uk" w:eastAsia="uk"/>
        </w:rPr>
        <w:drawing>
          <wp:inline>
            <wp:extent cx="571500" cy="762000"/>
            <wp:docPr id="10000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>                             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</w:p>
    <w:p>
      <w:pPr>
        <w:spacing w:before="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b/>
          <w:bCs/>
          <w:sz w:val="20"/>
          <w:szCs w:val="20"/>
          <w:lang w:val="uk" w:eastAsia="uk"/>
        </w:rPr>
        <w:t xml:space="preserve">                             У К А З </w:t>
      </w:r>
      <w:r>
        <w:rPr>
          <w:rFonts w:ascii="Courier New" w:eastAsia="Courier New" w:hAnsi="Courier New" w:cs="Courier New"/>
          <w:b/>
          <w:bCs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b/>
          <w:bCs/>
          <w:sz w:val="20"/>
          <w:szCs w:val="20"/>
          <w:lang w:val="uk" w:eastAsia="uk"/>
        </w:rPr>
        <w:t xml:space="preserve">                        ПРЕЗИДЕНТА УКРАЇНИ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b/>
          <w:bCs/>
          <w:sz w:val="20"/>
          <w:szCs w:val="20"/>
          <w:lang w:val="uk" w:eastAsia="uk"/>
        </w:rPr>
        <w:t xml:space="preserve">            Про заходи щодо розвитку системи виявлення </w:t>
      </w:r>
      <w:r>
        <w:rPr>
          <w:rFonts w:ascii="Courier New" w:eastAsia="Courier New" w:hAnsi="Courier New" w:cs="Courier New"/>
          <w:b/>
          <w:bCs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b/>
          <w:bCs/>
          <w:sz w:val="20"/>
          <w:szCs w:val="20"/>
          <w:lang w:val="uk" w:eastAsia="uk"/>
        </w:rPr>
        <w:t xml:space="preserve">      та підтримки обдарованих і талановитих дітей та молоді </w:t>
      </w:r>
      <w:r>
        <w:rPr>
          <w:rFonts w:ascii="Courier New" w:eastAsia="Courier New" w:hAnsi="Courier New" w:cs="Courier New"/>
          <w:b/>
          <w:bCs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b/>
          <w:bCs/>
          <w:sz w:val="20"/>
          <w:szCs w:val="20"/>
          <w:lang w:val="uk" w:eastAsia="uk"/>
        </w:rPr>
        <w:t xml:space="preserve">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З метою  підтримки обдарованих і талановитих дітей та молоді,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стимулювання розвитку їх творчого потенціалу,  враховуючи визначну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роль  Українського  державного центру "Мала академія наук України"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Міністерства освіти і науки України та Національної академії  наук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України  у  залученні  до  систематичної  науково-дослідної роботи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обдарованих і талановитих дітей та молоді,  </w:t>
      </w:r>
      <w:r>
        <w:rPr>
          <w:rFonts w:ascii="Courier New" w:eastAsia="Courier New" w:hAnsi="Courier New" w:cs="Courier New"/>
          <w:b/>
          <w:bCs/>
          <w:sz w:val="20"/>
          <w:szCs w:val="20"/>
          <w:lang w:val="uk" w:eastAsia="uk"/>
        </w:rPr>
        <w:t>п о с т а н о в л я ю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: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1. Надати Українському державному центру "Мала академія  наук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України"  Міністерства  освіти  і  науки  України  та Національної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академії наук України  статус  національного  й  надалі  іменувати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його - Національний центр "Мала академія наук України".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2. Надати   підтримку   Президента   України  Всеукраїнському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конкурсу-захисту науково-дослідницьких робіт учнів - членів  Малої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академії наук України.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3. Кабінету  Міністрів  України опрацювати разом із Київською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міською  державною  адміністрацією  та  забезпечити  вирішення   в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установленому  порядку  питання  щодо надання Національному центру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"Мала академія наук України" необхідних приміщень.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4. Міністерству освіти і науки України за участю Національної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академії наук України,  Раді міністрів Автономної Республіки Крим,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обласним,   Київській,    Севастопольській    міським    державним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адміністраціям: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вжити заходів  щодо розширення мережі позашкільних навчальних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закладів - територіальних малих академій наук учнівської молоді та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вирішення     питань     розміщення     таких     закладів,     їх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матеріально-технічного та фінансового забезпечення;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забезпечити вирішення   в   установленому   порядку   питання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модернізації  матеріально-технічної  та  навчально-методичної бази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існуючих позашкільних навчальних закладів по роботі з  обдарованою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і талановитою учнівською молоддю.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5. Раді   міністрів   Автономної  Республіки  Крим,  місцевим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державним  адміністраціям   запровадити   систему   заохочень   та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підтримки  переможців  II  і  III етапів Всеукраїнських учнівських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олімпіад  з  базових  навчальних  предметів,   I   і   II   етапів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Всеукраїнського конкурсу-захисту    науково-дослідницьких    робіт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учнів - членів Малої академії наук України,  в тому  числі  шляхом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заснування відповідних премій та стипендій.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6. Державному  комітету  телебачення та радіомовлення України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забезпечити   широке   висвітлення   заходів   щодо   розвитку   і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функціонування загальнонаціональної системи виявлення та підтримки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талановитих і обдарованих дітей та молоді,  створення  сприятливих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умов для самореалізації творчої особистості.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</w:t>
      </w:r>
    </w:p>
    <w:p>
      <w:pPr>
        <w:spacing w:before="200" w:after="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Президент України                                      В.ЯНУКОВИЧ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</w:p>
    <w:p>
      <w:pPr>
        <w:spacing w:before="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м. Київ, 30 вересня 2010 року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     N 927/2010 </w:t>
      </w:r>
    </w:p>
    <w:p>
      <w:pPr>
        <w:pStyle w:val="stamp"/>
        <w:rPr>
          <w:rFonts w:ascii="Times New Roman" w:eastAsia="Times New Roman" w:hAnsi="Times New Roman" w:cs="Times New Roman"/>
          <w:lang w:val="uk" w:eastAsia="u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30"/>
        <w:gridCol w:w="5340"/>
        <w:gridCol w:w="2430"/>
      </w:tblGrid>
      <w:tr>
        <w:tblPrEx>
          <w:tblW w:w="5000" w:type="pct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530" w:type="dxa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center"/>
              <w:rPr>
                <w:rFonts w:ascii="Times New Roman" w:eastAsia="Times New Roman" w:hAnsi="Times New Roman" w:cs="Times New Roman"/>
                <w:lang w:val="uk" w:eastAsia="uk"/>
              </w:rPr>
            </w:pPr>
            <w:r>
              <w:rPr>
                <w:rFonts w:ascii="Times New Roman" w:eastAsia="Times New Roman" w:hAnsi="Times New Roman" w:cs="Times New Roman"/>
                <w:strike w:val="0"/>
                <w:u w:val="none"/>
                <w:lang w:val="uk" w:eastAsia="uk"/>
              </w:rPr>
              <w:drawing>
                <wp:inline>
                  <wp:extent cx="952500" cy="952500"/>
                  <wp:docPr id="100003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3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rPr>
                <w:rFonts w:ascii="Times New Roman" w:eastAsia="Times New Roman" w:hAnsi="Times New Roman" w:cs="Times New Roman"/>
                <w:lang w:val="uk" w:eastAsia="uk"/>
              </w:rPr>
            </w:pPr>
            <w:r>
              <w:rPr>
                <w:rFonts w:ascii="Times New Roman" w:eastAsia="Times New Roman" w:hAnsi="Times New Roman" w:cs="Times New Roman"/>
                <w:lang w:val="uk" w:eastAsia="uk"/>
              </w:rPr>
              <w:t>Про заходи щодо розвитку системи виявлення та підтримки обдарованих і талановитих дітей та молоді</w:t>
            </w:r>
            <w:r>
              <w:rPr>
                <w:rFonts w:ascii="Times New Roman" w:eastAsia="Times New Roman" w:hAnsi="Times New Roman" w:cs="Times New Roman"/>
                <w:lang w:val="uk" w:eastAsia="uk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" w:eastAsia="uk"/>
              </w:rPr>
              <w:t>Указ Президента України від 30.09.2010 № 927/2010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" w:eastAsia="uk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" w:eastAsia="uk"/>
              </w:rPr>
              <w:t>Прийняття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" w:eastAsia="uk"/>
              </w:rPr>
              <w:t xml:space="preserve"> від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C628D"/>
                <w:sz w:val="20"/>
                <w:szCs w:val="20"/>
                <w:lang w:val="uk" w:eastAsia="uk"/>
              </w:rPr>
              <w:t>30.09.2010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C628D"/>
                <w:sz w:val="20"/>
                <w:szCs w:val="20"/>
                <w:lang w:val="uk" w:eastAsia="uk"/>
              </w:rPr>
              <w:br/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" w:eastAsia="uk"/>
              </w:rPr>
              <w:t>Постійна адреса: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" w:eastAsia="uk"/>
              </w:rPr>
              <w:br/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u w:val="single"/>
                <w:lang w:val="uk" w:eastAsia="uk"/>
              </w:rPr>
              <w:t>https://zakon.rada.gov.ua/go/927/2010</w:t>
            </w:r>
          </w:p>
        </w:tc>
        <w:tc>
          <w:tcPr>
            <w:tcW w:w="2430" w:type="dxa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center"/>
              <w:rPr>
                <w:rFonts w:ascii="Times New Roman" w:eastAsia="Times New Roman" w:hAnsi="Times New Roman" w:cs="Times New Roman"/>
                <w:lang w:val="uk" w:eastAsia="u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" w:eastAsia="uk"/>
              </w:rPr>
              <w:t>Законодавство України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" w:eastAsia="uk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" w:eastAsia="uk"/>
              </w:rPr>
              <w:t>станом на 06.03.2026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" w:eastAsia="uk"/>
              </w:rPr>
              <w:br/>
            </w:r>
            <w:r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val="uk" w:eastAsia="uk"/>
              </w:rPr>
              <w:t>чинний</w:t>
            </w:r>
            <w:r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val="uk" w:eastAsia="uk"/>
              </w:rPr>
              <w:br/>
            </w:r>
            <w:r>
              <w:rPr>
                <w:rFonts w:ascii="Times New Roman" w:eastAsia="Times New Roman" w:hAnsi="Times New Roman" w:cs="Times New Roman"/>
                <w:strike w:val="0"/>
                <w:u w:val="none"/>
                <w:lang w:val="uk" w:eastAsia="uk"/>
              </w:rPr>
              <w:drawing>
                <wp:inline>
                  <wp:extent cx="1524000" cy="355218"/>
                  <wp:docPr id="100005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0" cy="3552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rPr>
          <w:rFonts w:ascii="Times New Roman" w:eastAsia="Times New Roman" w:hAnsi="Times New Roman" w:cs="Times New Roman"/>
          <w:lang w:val="uk" w:eastAsia="uk"/>
        </w:rPr>
      </w:pPr>
      <w:r>
        <w:rPr>
          <w:rFonts w:ascii="Times New Roman" w:eastAsia="Times New Roman" w:hAnsi="Times New Roman" w:cs="Times New Roman"/>
          <w:lang w:val="uk" w:eastAsia="uk"/>
        </w:rPr>
        <w:br/>
      </w:r>
      <w:r>
        <w:pict>
          <v:rect id="_x0000_i1025" style="width:468pt;height:0" o:hrpct="1000" o:hralign="center" o:hrstd="t" o:hrnoshade="t" o:hr="t" filled="t" fillcolor="gray" stroked="f">
            <v:path strokeok="f"/>
          </v:rect>
        </w:pict>
      </w:r>
    </w:p>
    <w:p>
      <w:pPr>
        <w:pStyle w:val="Heading2"/>
        <w:keepNext w:val="0"/>
        <w:keepLines w:val="0"/>
        <w:spacing w:before="299" w:after="299"/>
        <w:rPr>
          <w:rFonts w:ascii="Times New Roman" w:eastAsia="Times New Roman" w:hAnsi="Times New Roman" w:cs="Times New Roman"/>
          <w:b/>
          <w:bCs/>
          <w:sz w:val="36"/>
          <w:szCs w:val="36"/>
          <w:lang w:val="uk" w:eastAsia="uk"/>
        </w:rPr>
      </w:pPr>
      <w:r>
        <w:rPr>
          <w:i w:val="0"/>
          <w:color w:val="auto"/>
          <w:lang w:val="uk" w:eastAsia="uk"/>
        </w:rPr>
        <w:t>Публікації документа</w:t>
      </w:r>
    </w:p>
    <w:p>
      <w:pPr>
        <w:numPr>
          <w:ilvl w:val="0"/>
          <w:numId w:val="1"/>
        </w:numPr>
        <w:spacing w:before="240"/>
        <w:ind w:left="720" w:hanging="210"/>
        <w:jc w:val="left"/>
        <w:rPr>
          <w:rFonts w:ascii="Times New Roman" w:eastAsia="Times New Roman" w:hAnsi="Times New Roman" w:cs="Times New Roman"/>
          <w:lang w:val="uk" w:eastAsia="uk"/>
        </w:rPr>
      </w:pPr>
      <w:r>
        <w:rPr>
          <w:rFonts w:ascii="Times New Roman" w:eastAsia="Times New Roman" w:hAnsi="Times New Roman" w:cs="Times New Roman"/>
          <w:b/>
          <w:bCs/>
          <w:lang w:val="uk" w:eastAsia="uk"/>
        </w:rPr>
        <w:t>Урядовий кур'єр</w:t>
      </w:r>
      <w:r>
        <w:rPr>
          <w:rFonts w:ascii="Times New Roman" w:eastAsia="Times New Roman" w:hAnsi="Times New Roman" w:cs="Times New Roman"/>
          <w:lang w:val="uk" w:eastAsia="uk"/>
        </w:rPr>
        <w:t xml:space="preserve"> від 05.10.2010 — № 184</w:t>
      </w:r>
    </w:p>
    <w:p>
      <w:pPr>
        <w:numPr>
          <w:ilvl w:val="0"/>
          <w:numId w:val="1"/>
        </w:numPr>
        <w:ind w:left="720" w:hanging="210"/>
        <w:jc w:val="left"/>
        <w:rPr>
          <w:rFonts w:ascii="Times New Roman" w:eastAsia="Times New Roman" w:hAnsi="Times New Roman" w:cs="Times New Roman"/>
          <w:lang w:val="uk" w:eastAsia="uk"/>
        </w:rPr>
      </w:pPr>
      <w:r>
        <w:rPr>
          <w:rFonts w:ascii="Times New Roman" w:eastAsia="Times New Roman" w:hAnsi="Times New Roman" w:cs="Times New Roman"/>
          <w:b/>
          <w:bCs/>
          <w:lang w:val="uk" w:eastAsia="uk"/>
        </w:rPr>
        <w:t>Офіційний вісник Президента України</w:t>
      </w:r>
      <w:r>
        <w:rPr>
          <w:rFonts w:ascii="Times New Roman" w:eastAsia="Times New Roman" w:hAnsi="Times New Roman" w:cs="Times New Roman"/>
          <w:lang w:val="uk" w:eastAsia="uk"/>
        </w:rPr>
        <w:t xml:space="preserve"> від 05.10.2010 — 2010 р., № 27, стор. 19, стаття 897</w:t>
      </w:r>
    </w:p>
    <w:p>
      <w:pPr>
        <w:numPr>
          <w:ilvl w:val="0"/>
          <w:numId w:val="1"/>
        </w:numPr>
        <w:spacing w:after="240"/>
        <w:ind w:left="720" w:hanging="210"/>
        <w:jc w:val="left"/>
        <w:rPr>
          <w:rFonts w:ascii="Times New Roman" w:eastAsia="Times New Roman" w:hAnsi="Times New Roman" w:cs="Times New Roman"/>
          <w:lang w:val="uk" w:eastAsia="uk"/>
        </w:rPr>
      </w:pPr>
      <w:r>
        <w:rPr>
          <w:rFonts w:ascii="Times New Roman" w:eastAsia="Times New Roman" w:hAnsi="Times New Roman" w:cs="Times New Roman"/>
          <w:b/>
          <w:bCs/>
          <w:lang w:val="uk" w:eastAsia="uk"/>
        </w:rPr>
        <w:t>Офіційний вісник України</w:t>
      </w:r>
      <w:r>
        <w:rPr>
          <w:rFonts w:ascii="Times New Roman" w:eastAsia="Times New Roman" w:hAnsi="Times New Roman" w:cs="Times New Roman"/>
          <w:lang w:val="uk" w:eastAsia="uk"/>
        </w:rPr>
        <w:t xml:space="preserve"> від 11.10.2010 — 2010 р., № 75, стор. 11, стаття 2660, код акта 52895/2010</w:t>
      </w:r>
    </w:p>
    <w:sectPr>
      <w:pgMar w:header="720" w:footer="72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000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6D7A"/>
    <w:pPr>
      <w:keepNext/>
      <w:keepLines/>
      <w:spacing w:before="240" w:after="0"/>
      <w:outlineLvl w:val="0"/>
    </w:pPr>
    <w:rPr>
      <w:rFonts w:ascii="Times New Roman" w:eastAsia="Times New Roman" w:hAnsi="Times New Roman" w:cs="Times New Roman"/>
      <w:b/>
      <w:bCs/>
      <w:i w:val="0"/>
      <w:color w:val="2F5496" w:themeShade="BF"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qFormat/>
    <w:rsid w:val="00506D7A"/>
    <w:pPr>
      <w:keepNext/>
      <w:keepLines/>
      <w:spacing w:before="40" w:after="0"/>
      <w:outlineLvl w:val="1"/>
    </w:pPr>
    <w:rPr>
      <w:rFonts w:ascii="Times New Roman" w:eastAsia="Times New Roman" w:hAnsi="Times New Roman" w:cs="Times New Roman"/>
      <w:b/>
      <w:bCs/>
      <w:i w:val="0"/>
      <w:color w:val="2F5496" w:themeShade="BF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06D7A"/>
    <w:pPr>
      <w:keepNext/>
      <w:keepLines/>
      <w:spacing w:before="40" w:after="0"/>
      <w:outlineLvl w:val="2"/>
    </w:pPr>
    <w:rPr>
      <w:rFonts w:ascii="Times New Roman" w:eastAsia="Times New Roman" w:hAnsi="Times New Roman" w:cs="Times New Roman"/>
      <w:b/>
      <w:bCs/>
      <w:i w:val="0"/>
      <w:color w:val="1F3763" w:themeShade="7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rsid w:val="00506D7A"/>
    <w:pPr>
      <w:keepNext/>
      <w:keepLines/>
      <w:spacing w:before="40" w:after="0"/>
      <w:outlineLvl w:val="3"/>
    </w:pPr>
    <w:rPr>
      <w:rFonts w:ascii="Times New Roman" w:eastAsia="Times New Roman" w:hAnsi="Times New Roman" w:cs="Times New Roman"/>
      <w:b/>
      <w:bCs/>
      <w:i w:val="0"/>
      <w:iCs/>
      <w:color w:val="2F5496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qFormat/>
    <w:rsid w:val="00506D7A"/>
    <w:pPr>
      <w:keepNext/>
      <w:keepLines/>
      <w:spacing w:before="40" w:after="0"/>
      <w:outlineLvl w:val="4"/>
    </w:pPr>
    <w:rPr>
      <w:rFonts w:ascii="Times New Roman" w:eastAsia="Times New Roman" w:hAnsi="Times New Roman" w:cs="Times New Roman"/>
      <w:b/>
      <w:bCs/>
      <w:i w:val="0"/>
      <w:color w:val="2F5496" w:themeShade="BF"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qFormat/>
    <w:rsid w:val="00506D7A"/>
    <w:pPr>
      <w:keepNext/>
      <w:keepLines/>
      <w:spacing w:before="40" w:after="0"/>
      <w:outlineLvl w:val="5"/>
    </w:pPr>
    <w:rPr>
      <w:rFonts w:ascii="Times New Roman" w:eastAsia="Times New Roman" w:hAnsi="Times New Roman" w:cs="Times New Roman"/>
      <w:b/>
      <w:bCs/>
      <w:i w:val="0"/>
      <w:color w:val="1F3763" w:themeShade="7F"/>
      <w:sz w:val="16"/>
      <w:szCs w:val="1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506D7A"/>
    <w:rPr>
      <w:rFonts w:ascii="Calibri Light" w:eastAsia="Times New Roman" w:hAnsi="Calibri Light" w:cs="Times New Roman"/>
      <w:color w:val="2F5496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6D7A"/>
    <w:rPr>
      <w:rFonts w:ascii="Calibri Light" w:eastAsia="Times New Roman" w:hAnsi="Calibri Light" w:cs="Times New Roman"/>
      <w:color w:val="2F5496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06D7A"/>
    <w:rPr>
      <w:rFonts w:ascii="Calibri Light" w:eastAsia="Times New Roman" w:hAnsi="Calibri Light" w:cs="Times New Roman"/>
      <w:color w:val="1F3763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06D7A"/>
    <w:rPr>
      <w:rFonts w:ascii="Calibri Light" w:eastAsia="Times New Roman" w:hAnsi="Calibri Light" w:cs="Times New Roman"/>
      <w:i/>
      <w:iCs/>
      <w:color w:val="2F5496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506D7A"/>
    <w:rPr>
      <w:rFonts w:ascii="Calibri Light" w:eastAsia="Times New Roman" w:hAnsi="Calibri Light" w:cs="Times New Roman"/>
      <w:color w:val="2F5496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506D7A"/>
    <w:rPr>
      <w:rFonts w:ascii="Calibri Light" w:eastAsia="Times New Roman" w:hAnsi="Calibri Light" w:cs="Times New Roman"/>
      <w:color w:val="1F3763" w:themeShade="7F"/>
    </w:rPr>
  </w:style>
  <w:style w:type="paragraph" w:customStyle="1" w:styleId="stamp">
    <w:name w:val="stamp"/>
    <w:basedOn w:val="Normal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gif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заходи щодо розвитку системи виявлення та підтримки обдарованих і талановитих дітей та молоді | від 30.09.2010 № 927/2010</dc:title>
  <cp:revision>0</cp:revision>
</cp:coreProperties>
</file>